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D0" w:rsidRDefault="007A0ED0" w:rsidP="00206961">
      <w:pPr>
        <w:pStyle w:val="Title"/>
        <w:jc w:val="left"/>
      </w:pPr>
      <w:r>
        <w:rPr>
          <w:b w:val="0"/>
          <w:bCs/>
        </w:rPr>
        <w:tab/>
      </w:r>
      <w:r>
        <w:t>INFORMATIONAL</w:t>
      </w:r>
    </w:p>
    <w:p w:rsidR="007A0ED0" w:rsidRDefault="007A0ED0" w:rsidP="00206961">
      <w:pPr>
        <w:tabs>
          <w:tab w:val="center" w:pos="4680"/>
          <w:tab w:val="left" w:pos="7560"/>
        </w:tabs>
        <w:jc w:val="center"/>
        <w:rPr>
          <w:rFonts w:ascii="Arial" w:hAnsi="Arial"/>
        </w:rPr>
      </w:pPr>
      <w:r>
        <w:rPr>
          <w:rFonts w:ascii="Arial" w:hAnsi="Arial"/>
        </w:rPr>
        <w:t>CALENDAR ITEM</w:t>
      </w:r>
    </w:p>
    <w:p w:rsidR="007A0ED0" w:rsidRDefault="00CB0812" w:rsidP="00206961">
      <w:pPr>
        <w:pStyle w:val="Heading2"/>
      </w:pPr>
      <w:r>
        <w:t>44</w:t>
      </w:r>
    </w:p>
    <w:p w:rsidR="007A0ED0" w:rsidRDefault="007A0ED0" w:rsidP="00206961">
      <w:pPr>
        <w:tabs>
          <w:tab w:val="right" w:pos="9360"/>
        </w:tabs>
        <w:rPr>
          <w:rFonts w:ascii="Arial" w:hAnsi="Arial"/>
        </w:rPr>
        <w:sectPr w:rsidR="007A0ED0" w:rsidSect="009A7ACB">
          <w:footerReference w:type="default" r:id="rId7"/>
          <w:endnotePr>
            <w:numFmt w:val="decimal"/>
          </w:endnotePr>
          <w:pgSz w:w="12240" w:h="15840" w:code="1"/>
          <w:pgMar w:top="2160" w:right="1440" w:bottom="2160" w:left="1440" w:header="1440" w:footer="720" w:gutter="0"/>
          <w:cols w:space="720"/>
          <w:noEndnote/>
        </w:sectPr>
      </w:pPr>
    </w:p>
    <w:p w:rsidR="007A0ED0" w:rsidRDefault="007A0ED0" w:rsidP="00206961">
      <w:pPr>
        <w:tabs>
          <w:tab w:val="right" w:pos="9360"/>
        </w:tabs>
        <w:rPr>
          <w:rFonts w:ascii="Arial" w:hAnsi="Arial"/>
        </w:rPr>
      </w:pPr>
    </w:p>
    <w:p w:rsidR="007A0ED0" w:rsidRDefault="007A0ED0" w:rsidP="0020696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>A  54, 55</w:t>
      </w:r>
      <w:r>
        <w:rPr>
          <w:rFonts w:ascii="Arial" w:hAnsi="Arial"/>
        </w:rPr>
        <w:tab/>
      </w:r>
      <w:r w:rsidR="005337A2">
        <w:rPr>
          <w:rFonts w:ascii="Arial" w:hAnsi="Arial"/>
        </w:rPr>
        <w:t>0</w:t>
      </w:r>
      <w:r w:rsidR="002902DF">
        <w:rPr>
          <w:rFonts w:ascii="Arial" w:hAnsi="Arial"/>
        </w:rPr>
        <w:fldChar w:fldCharType="begin">
          <w:ffData>
            <w:name w:val="Text1"/>
            <w:enabled/>
            <w:calcOnExit w:val="0"/>
            <w:statusText w:type="text" w:val="Type in the &quot;Meeting Date (i.e. 05/06/99)&quot; then Press Tab to each the next field.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 w:rsidR="002902DF">
        <w:rPr>
          <w:rFonts w:ascii="Arial" w:hAnsi="Arial"/>
        </w:rPr>
      </w:r>
      <w:r w:rsidR="002902DF">
        <w:rPr>
          <w:rFonts w:ascii="Arial" w:hAnsi="Arial"/>
        </w:rPr>
        <w:fldChar w:fldCharType="separate"/>
      </w:r>
      <w:r w:rsidR="00A82AFE">
        <w:rPr>
          <w:rFonts w:ascii="Arial" w:hAnsi="Arial"/>
          <w:noProof/>
        </w:rPr>
        <w:t>4/</w:t>
      </w:r>
      <w:r w:rsidR="005337A2">
        <w:rPr>
          <w:rFonts w:ascii="Arial" w:hAnsi="Arial"/>
          <w:noProof/>
        </w:rPr>
        <w:t>0</w:t>
      </w:r>
      <w:r w:rsidR="001D2C98">
        <w:rPr>
          <w:rFonts w:ascii="Arial" w:hAnsi="Arial"/>
          <w:noProof/>
        </w:rPr>
        <w:t>9</w:t>
      </w:r>
      <w:r w:rsidR="00A82AFE">
        <w:rPr>
          <w:rFonts w:ascii="Arial" w:hAnsi="Arial"/>
          <w:noProof/>
        </w:rPr>
        <w:t>/09</w:t>
      </w:r>
      <w:r w:rsidR="002902DF">
        <w:rPr>
          <w:rFonts w:ascii="Arial" w:hAnsi="Arial"/>
        </w:rPr>
        <w:fldChar w:fldCharType="end"/>
      </w:r>
      <w:bookmarkEnd w:id="0"/>
    </w:p>
    <w:p w:rsidR="007A0ED0" w:rsidRDefault="007A0ED0" w:rsidP="00206961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W 16001</w:t>
      </w:r>
    </w:p>
    <w:p w:rsidR="007A0ED0" w:rsidRDefault="007A0ED0" w:rsidP="0020696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W 104</w:t>
      </w:r>
      <w:r w:rsidR="00A82AFE">
        <w:rPr>
          <w:rFonts w:ascii="Arial" w:hAnsi="Arial"/>
        </w:rPr>
        <w:t>42</w:t>
      </w:r>
    </w:p>
    <w:p w:rsidR="007A0ED0" w:rsidRDefault="007A0ED0" w:rsidP="0020696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>S  27, 28</w:t>
      </w:r>
      <w:r>
        <w:rPr>
          <w:rFonts w:ascii="Arial" w:hAnsi="Arial"/>
        </w:rPr>
        <w:tab/>
      </w:r>
      <w:r w:rsidR="00A82AFE">
        <w:rPr>
          <w:rFonts w:ascii="Arial" w:hAnsi="Arial"/>
        </w:rPr>
        <w:t>V. Duda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</w:p>
    <w:p w:rsidR="007A0ED0" w:rsidRDefault="007A0ED0" w:rsidP="00206961">
      <w:pPr>
        <w:pStyle w:val="Heading1"/>
      </w:pPr>
      <w:r>
        <w:t xml:space="preserve">STAFF REPORT ON THE </w:t>
      </w:r>
    </w:p>
    <w:p w:rsidR="007A0ED0" w:rsidRDefault="007A0ED0" w:rsidP="00206961">
      <w:pPr>
        <w:pStyle w:val="Heading1"/>
      </w:pPr>
      <w:r>
        <w:t xml:space="preserve">MONITORING OF POSSIBLE SUBSIDENCE, </w:t>
      </w:r>
    </w:p>
    <w:p w:rsidR="007A0ED0" w:rsidRDefault="007A0ED0" w:rsidP="00206961">
      <w:pPr>
        <w:pStyle w:val="Heading1"/>
      </w:pPr>
      <w:smartTag w:uri="urn:schemas-microsoft-com:office:smarttags" w:element="City">
        <w:r>
          <w:t>LONG BEACH</w:t>
        </w:r>
      </w:smartTag>
      <w:r>
        <w:t xml:space="preserve"> UNIT, </w:t>
      </w:r>
      <w:smartTag w:uri="urn:schemas-microsoft-com:office:smarttags" w:element="City">
        <w:smartTag w:uri="urn:schemas-microsoft-com:office:smarttags" w:element="place">
          <w:r>
            <w:t>WILMINGTON</w:t>
          </w:r>
        </w:smartTag>
      </w:smartTag>
      <w:r>
        <w:t xml:space="preserve"> OIL FIELD, </w:t>
      </w:r>
    </w:p>
    <w:p w:rsidR="007A0ED0" w:rsidRDefault="007A0ED0" w:rsidP="00206961">
      <w:pPr>
        <w:tabs>
          <w:tab w:val="center" w:pos="4680"/>
          <w:tab w:val="left" w:pos="7560"/>
        </w:tabs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LOS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</w:rPr>
            <w:t>ANGELES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COUNTY</w:t>
          </w:r>
        </w:smartTag>
      </w:smartTag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</w:p>
    <w:p w:rsidR="00206961" w:rsidRDefault="00206961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  <w:b/>
        </w:rPr>
      </w:pPr>
      <w:r>
        <w:rPr>
          <w:rFonts w:ascii="Arial" w:hAnsi="Arial"/>
          <w:b/>
        </w:rPr>
        <w:t>PARTY: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  <w:r>
        <w:rPr>
          <w:rFonts w:ascii="Arial" w:hAnsi="Arial"/>
        </w:rPr>
        <w:tab/>
        <w:t>California State Lands Commission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  <w:r>
        <w:rPr>
          <w:rFonts w:ascii="Arial" w:hAnsi="Arial"/>
        </w:rPr>
        <w:tab/>
        <w:t>100 Howe Avenue, Suite 100-South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Sacramento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95825-8202</w:t>
          </w:r>
        </w:smartTag>
      </w:smartTag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  <w:b/>
        </w:rPr>
      </w:pPr>
      <w:r>
        <w:rPr>
          <w:rFonts w:ascii="Arial" w:hAnsi="Arial"/>
          <w:b/>
        </w:rPr>
        <w:t>BACKGROUND:</w:t>
      </w:r>
    </w:p>
    <w:p w:rsidR="00A82AFE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The City of </w:t>
      </w:r>
      <w:smartTag w:uri="urn:schemas-microsoft-com:office:smarttags" w:element="City">
        <w:r>
          <w:rPr>
            <w:rFonts w:ascii="Arial" w:hAnsi="Arial"/>
          </w:rPr>
          <w:t>Long Beach</w:t>
        </w:r>
      </w:smartTag>
      <w:r>
        <w:rPr>
          <w:rFonts w:ascii="Arial" w:hAnsi="Arial"/>
        </w:rPr>
        <w:t xml:space="preserve"> conducts surveys twice each year, in May and November, for the purpose of monitoring changes in ground elevation 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Long Beach</w:t>
          </w:r>
        </w:smartTag>
      </w:smartTag>
      <w:r>
        <w:rPr>
          <w:rFonts w:ascii="Arial" w:hAnsi="Arial"/>
        </w:rPr>
        <w:t xml:space="preserve"> tidelands and adjacent areas.  The Commission's staff reviews and interprets the benchmark elevation data from these semi-annual surveys.  This report covers benchmarks surveyed in </w:t>
      </w:r>
      <w:r w:rsidR="00A82AFE">
        <w:rPr>
          <w:rFonts w:ascii="Arial" w:hAnsi="Arial"/>
        </w:rPr>
        <w:t xml:space="preserve">November 2008 </w:t>
      </w:r>
      <w:r>
        <w:rPr>
          <w:rFonts w:ascii="Arial" w:hAnsi="Arial"/>
        </w:rPr>
        <w:t xml:space="preserve">and compares elevation changes that have occurred since completion of the previous survey in </w:t>
      </w:r>
      <w:r w:rsidR="00A82AFE">
        <w:rPr>
          <w:rFonts w:ascii="Arial" w:hAnsi="Arial"/>
        </w:rPr>
        <w:t>May 2008.</w:t>
      </w:r>
    </w:p>
    <w:p w:rsidR="00A82AFE" w:rsidRDefault="00A82AFE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ind w:left="720"/>
        <w:rPr>
          <w:rFonts w:ascii="Arial" w:hAnsi="Arial"/>
        </w:rPr>
      </w:pPr>
    </w:p>
    <w:p w:rsidR="00A82AFE" w:rsidRDefault="00A82AFE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ind w:left="720"/>
        <w:rPr>
          <w:rFonts w:ascii="Arial" w:hAnsi="Arial"/>
        </w:rPr>
      </w:pPr>
      <w:r>
        <w:rPr>
          <w:rFonts w:ascii="Arial" w:hAnsi="Arial"/>
        </w:rPr>
        <w:t>The Harbor District continued to remain stable</w:t>
      </w:r>
      <w:r w:rsidR="003D0A49">
        <w:rPr>
          <w:rFonts w:ascii="Arial" w:hAnsi="Arial"/>
        </w:rPr>
        <w:t xml:space="preserve"> during the six-month period. El</w:t>
      </w:r>
      <w:r>
        <w:rPr>
          <w:rFonts w:ascii="Arial" w:hAnsi="Arial"/>
        </w:rPr>
        <w:t xml:space="preserve">evations at the southern end of the curtailed Tar steam flood on Pier A west and adjacent Henry Ford Avenue area </w:t>
      </w:r>
      <w:r w:rsidR="003D0A49">
        <w:rPr>
          <w:rFonts w:ascii="Arial" w:hAnsi="Arial"/>
        </w:rPr>
        <w:t xml:space="preserve">also were stable. </w:t>
      </w:r>
    </w:p>
    <w:p w:rsidR="00A82AFE" w:rsidRDefault="00A82AFE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ind w:left="720"/>
        <w:rPr>
          <w:rFonts w:ascii="Arial" w:hAnsi="Arial"/>
        </w:rPr>
      </w:pPr>
    </w:p>
    <w:p w:rsidR="007A0ED0" w:rsidRDefault="00A82AFE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Elevations </w:t>
      </w:r>
      <w:r w:rsidR="001D2C98">
        <w:rPr>
          <w:rFonts w:ascii="Arial" w:hAnsi="Arial"/>
        </w:rPr>
        <w:t>throughout the</w:t>
      </w:r>
      <w:r>
        <w:rPr>
          <w:rFonts w:ascii="Arial" w:hAnsi="Arial"/>
        </w:rPr>
        <w:t xml:space="preserve"> Civic Center, Central City, Alamitos Bay, Naples and the oil islands remained stable during this period.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ind w:left="720"/>
        <w:rPr>
          <w:rFonts w:ascii="Arial" w:hAnsi="Arial"/>
        </w:rPr>
      </w:pP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The results of the next regular elevation survey, to be conducted in </w:t>
      </w:r>
      <w:r w:rsidR="00A82AFE">
        <w:rPr>
          <w:rFonts w:ascii="Arial" w:hAnsi="Arial"/>
        </w:rPr>
        <w:t>May 2009</w:t>
      </w:r>
      <w:r>
        <w:rPr>
          <w:rFonts w:ascii="Arial" w:hAnsi="Arial"/>
        </w:rPr>
        <w:t xml:space="preserve">, will be reported to the Commission after the data have been received and analyzed by the Commission's staff.  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EXHIBIT:</w:t>
      </w:r>
    </w:p>
    <w:p w:rsidR="007A0ED0" w:rsidRDefault="007A0ED0" w:rsidP="00206961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4680"/>
          <w:tab w:val="left" w:pos="7560"/>
        </w:tabs>
        <w:rPr>
          <w:rFonts w:ascii="Arial" w:hAnsi="Arial"/>
        </w:rPr>
      </w:pPr>
      <w:r>
        <w:rPr>
          <w:rFonts w:ascii="Arial" w:hAnsi="Arial"/>
        </w:rPr>
        <w:t>Location Map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PERMIT STREAMLINING ACT DEADLINE: 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ind w:firstLine="720"/>
        <w:rPr>
          <w:rFonts w:ascii="Arial" w:hAnsi="Arial"/>
        </w:rPr>
      </w:pPr>
      <w:r>
        <w:rPr>
          <w:rFonts w:ascii="Arial" w:hAnsi="Arial"/>
        </w:rPr>
        <w:t>N/A (not a “development project’ subject to the Act)</w:t>
      </w:r>
    </w:p>
    <w:p w:rsidR="007A0ED0" w:rsidRDefault="007A0ED0" w:rsidP="00206961">
      <w:pPr>
        <w:tabs>
          <w:tab w:val="left" w:pos="-1440"/>
          <w:tab w:val="left" w:pos="-720"/>
          <w:tab w:val="left" w:pos="720"/>
          <w:tab w:val="left" w:pos="1320"/>
          <w:tab w:val="left" w:pos="4680"/>
          <w:tab w:val="left" w:pos="7560"/>
        </w:tabs>
        <w:rPr>
          <w:rFonts w:ascii="Arial" w:hAnsi="Arial"/>
        </w:rPr>
      </w:pPr>
    </w:p>
    <w:sectPr w:rsidR="007A0ED0" w:rsidSect="003568C5">
      <w:endnotePr>
        <w:numFmt w:val="decimal"/>
      </w:endnotePr>
      <w:type w:val="continuous"/>
      <w:pgSz w:w="12240" w:h="15840" w:code="1"/>
      <w:pgMar w:top="2160" w:right="1440" w:bottom="216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FE" w:rsidRDefault="00A82AFE">
      <w:r>
        <w:separator/>
      </w:r>
    </w:p>
  </w:endnote>
  <w:endnote w:type="continuationSeparator" w:id="1">
    <w:p w:rsidR="00A82AFE" w:rsidRDefault="00A8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D0" w:rsidRDefault="007A0ED0">
    <w:pPr>
      <w:tabs>
        <w:tab w:val="center" w:pos="4680"/>
        <w:tab w:val="right" w:pos="9360"/>
      </w:tabs>
      <w:rPr>
        <w:rFonts w:ascii="Arial" w:hAnsi="Arial"/>
      </w:rPr>
    </w:pPr>
    <w:r>
      <w:tab/>
      <w:t>-</w:t>
    </w:r>
    <w:r w:rsidR="002902DF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2902DF">
      <w:rPr>
        <w:rStyle w:val="PageNumber"/>
        <w:rFonts w:ascii="Arial" w:hAnsi="Arial"/>
      </w:rPr>
      <w:fldChar w:fldCharType="separate"/>
    </w:r>
    <w:r w:rsidR="00CB0812">
      <w:rPr>
        <w:rStyle w:val="PageNumber"/>
        <w:rFonts w:ascii="Arial" w:hAnsi="Arial"/>
        <w:noProof/>
      </w:rPr>
      <w:t>1</w:t>
    </w:r>
    <w:r w:rsidR="002902DF"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>-</w:t>
    </w:r>
  </w:p>
  <w:p w:rsidR="007A0ED0" w:rsidRDefault="007A0ED0">
    <w:pP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FE" w:rsidRDefault="00A82AFE">
      <w:r>
        <w:separator/>
      </w:r>
    </w:p>
  </w:footnote>
  <w:footnote w:type="continuationSeparator" w:id="1">
    <w:p w:rsidR="00A82AFE" w:rsidRDefault="00A82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C19"/>
    <w:multiLevelType w:val="singleLevel"/>
    <w:tmpl w:val="2A488FDC"/>
    <w:lvl w:ilvl="0">
      <w:start w:val="1"/>
      <w:numFmt w:val="upperLetter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F47121"/>
    <w:rsid w:val="000815E3"/>
    <w:rsid w:val="001D2C98"/>
    <w:rsid w:val="00206961"/>
    <w:rsid w:val="002902DF"/>
    <w:rsid w:val="003568C5"/>
    <w:rsid w:val="003D0A49"/>
    <w:rsid w:val="00451D6F"/>
    <w:rsid w:val="005065CF"/>
    <w:rsid w:val="005337A2"/>
    <w:rsid w:val="006C4BE7"/>
    <w:rsid w:val="007A0ED0"/>
    <w:rsid w:val="008455CF"/>
    <w:rsid w:val="009A7ACB"/>
    <w:rsid w:val="00A82AFE"/>
    <w:rsid w:val="00AF22F0"/>
    <w:rsid w:val="00CB0812"/>
    <w:rsid w:val="00D93546"/>
    <w:rsid w:val="00F4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8C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568C5"/>
    <w:pPr>
      <w:keepNext/>
      <w:tabs>
        <w:tab w:val="center" w:pos="4680"/>
        <w:tab w:val="left" w:pos="756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568C5"/>
    <w:pPr>
      <w:keepNext/>
      <w:tabs>
        <w:tab w:val="center" w:pos="4680"/>
        <w:tab w:val="left" w:pos="7560"/>
      </w:tabs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568C5"/>
  </w:style>
  <w:style w:type="paragraph" w:styleId="Header">
    <w:name w:val="header"/>
    <w:basedOn w:val="Normal"/>
    <w:rsid w:val="00356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8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8C5"/>
  </w:style>
  <w:style w:type="paragraph" w:styleId="Title">
    <w:name w:val="Title"/>
    <w:basedOn w:val="Normal"/>
    <w:qFormat/>
    <w:rsid w:val="003568C5"/>
    <w:pPr>
      <w:tabs>
        <w:tab w:val="center" w:pos="4680"/>
        <w:tab w:val="left" w:pos="7560"/>
      </w:tabs>
      <w:jc w:val="center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DAV.slc\Local%20Settings\Temporary%20Internet%20Files\Content.MSO\EF781F8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EF781F8F.dotx</Template>
  <TotalTime>17</TotalTime>
  <Pages>2</Pages>
  <Words>220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Monitor Item</vt:lpstr>
      <vt:lpstr>    C</vt:lpstr>
      <vt:lpstr>STAFF REPORT ON THE </vt:lpstr>
      <vt:lpstr>MONITORING OF POSSIBLE SUBSIDENCE, </vt:lpstr>
      <vt:lpstr>LONG BEACH UNIT, WILMINGTON OIL FIELD, </vt:lpstr>
    </vt:vector>
  </TitlesOfParts>
  <Company>CA State Lands Commission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 Item</dc:title>
  <dc:subject>monitoring of seismic hazards</dc:subject>
  <dc:creator>Vid Duda</dc:creator>
  <cp:keywords/>
  <cp:lastModifiedBy>Lynda Smallwood</cp:lastModifiedBy>
  <cp:revision>7</cp:revision>
  <cp:lastPrinted>2009-03-19T21:19:00Z</cp:lastPrinted>
  <dcterms:created xsi:type="dcterms:W3CDTF">2009-03-12T21:14:00Z</dcterms:created>
  <dcterms:modified xsi:type="dcterms:W3CDTF">2009-03-30T16:58:00Z</dcterms:modified>
</cp:coreProperties>
</file>